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DFE" w:rsidRDefault="00047DFE" w:rsidP="00047D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  <w:lang w:val="fr-FR"/>
        </w:rPr>
      </w:pPr>
      <w:r>
        <w:rPr>
          <w:rFonts w:ascii="Times New Roman" w:hAnsi="Times New Roman" w:cs="Times New Roman"/>
          <w:b/>
          <w:bCs/>
          <w:sz w:val="48"/>
          <w:szCs w:val="48"/>
          <w:lang w:val="fr-FR"/>
        </w:rPr>
        <w:t>LT LAB 2020-2021</w:t>
      </w:r>
    </w:p>
    <w:p w:rsidR="00047DFE" w:rsidRDefault="00047DFE" w:rsidP="00047DFE">
      <w:pPr>
        <w:pStyle w:val="Heading3"/>
        <w:jc w:val="center"/>
        <w:rPr>
          <w:rFonts w:ascii="Times New Roman" w:hAnsi="Times New Roman"/>
          <w:b w:val="0"/>
          <w:bCs w:val="0"/>
          <w:sz w:val="28"/>
          <w:szCs w:val="28"/>
          <w:lang w:val="fr-FR" w:eastAsia="fr-FR"/>
        </w:rPr>
      </w:pPr>
      <w:r>
        <w:rPr>
          <w:rFonts w:ascii="Times New Roman" w:hAnsi="Times New Roman"/>
          <w:sz w:val="28"/>
          <w:szCs w:val="28"/>
          <w:lang w:val="fr-FR" w:eastAsia="fr-FR"/>
        </w:rPr>
        <w:t>METHODOLOGIE ET PRAT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fr-FR" w:eastAsia="fr-FR"/>
        </w:rPr>
        <w:t>IQUE DE LA RECHERCHE (30P)</w:t>
      </w:r>
    </w:p>
    <w:p w:rsidR="00047DFE" w:rsidRDefault="00047DFE" w:rsidP="00047DFE">
      <w:pPr>
        <w:pStyle w:val="BodyText"/>
        <w:bidi w:val="0"/>
        <w:rPr>
          <w:sz w:val="28"/>
          <w:szCs w:val="28"/>
          <w:lang w:val="fr-FR" w:eastAsia="fr-FR"/>
        </w:rPr>
      </w:pPr>
    </w:p>
    <w:p w:rsidR="00047DFE" w:rsidRDefault="00047DFE" w:rsidP="00047DFE">
      <w:pPr>
        <w:pStyle w:val="BodyText"/>
        <w:bidi w:val="0"/>
        <w:rPr>
          <w:b/>
          <w:bCs/>
          <w:sz w:val="28"/>
          <w:szCs w:val="28"/>
          <w:lang w:val="fr-FR" w:eastAsia="fr-FR"/>
        </w:rPr>
      </w:pPr>
      <w:r>
        <w:rPr>
          <w:b/>
          <w:bCs/>
          <w:sz w:val="28"/>
          <w:szCs w:val="28"/>
          <w:lang w:val="fr-FR" w:eastAsia="fr-FR"/>
        </w:rPr>
        <w:t>Plan du processus de la recherche</w:t>
      </w:r>
    </w:p>
    <w:p w:rsidR="00047DFE" w:rsidRDefault="00047DFE" w:rsidP="00047DFE">
      <w:pPr>
        <w:rPr>
          <w:b/>
          <w:bCs/>
          <w:sz w:val="28"/>
          <w:szCs w:val="28"/>
          <w:lang w:val="fr-FR" w:eastAsia="fr-FR"/>
        </w:rPr>
      </w:pPr>
      <w:r>
        <w:rPr>
          <w:b/>
          <w:bCs/>
          <w:sz w:val="28"/>
          <w:szCs w:val="28"/>
          <w:lang w:val="fr-FR" w:eastAsia="fr-FR"/>
        </w:rPr>
        <w:t xml:space="preserve">De la conception à la réalisation </w:t>
      </w:r>
    </w:p>
    <w:p w:rsidR="00047DFE" w:rsidRDefault="00047DFE" w:rsidP="00047DFE">
      <w:pPr>
        <w:pStyle w:val="Heading4"/>
        <w:rPr>
          <w:b/>
          <w:bCs/>
          <w:u w:val="single"/>
          <w:lang w:eastAsia="fr-FR"/>
        </w:rPr>
      </w:pPr>
      <w:r>
        <w:rPr>
          <w:b/>
          <w:bCs/>
          <w:u w:val="single"/>
          <w:lang w:eastAsia="fr-FR"/>
        </w:rPr>
        <w:t>Sommaire</w:t>
      </w:r>
    </w:p>
    <w:p w:rsidR="00047DFE" w:rsidRDefault="00047DFE" w:rsidP="00047DFE">
      <w:pPr>
        <w:numPr>
          <w:ilvl w:val="0"/>
          <w:numId w:val="14"/>
        </w:num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La recherche scientifique But de l’étude </w:t>
      </w:r>
    </w:p>
    <w:p w:rsidR="00047DFE" w:rsidRDefault="00047DFE" w:rsidP="00047DFE">
      <w:pPr>
        <w:numPr>
          <w:ilvl w:val="0"/>
          <w:numId w:val="14"/>
        </w:num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>La recherche propre à une discipline : l’exemple des sciences infirmières</w:t>
      </w:r>
    </w:p>
    <w:p w:rsidR="00047DFE" w:rsidRDefault="00047DFE" w:rsidP="00047DFE">
      <w:pPr>
        <w:numPr>
          <w:ilvl w:val="0"/>
          <w:numId w:val="14"/>
        </w:num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Les étapes du processus de la recherche </w:t>
      </w:r>
    </w:p>
    <w:p w:rsidR="00047DFE" w:rsidRDefault="00047DFE" w:rsidP="00047DFE">
      <w:pPr>
        <w:numPr>
          <w:ilvl w:val="0"/>
          <w:numId w:val="14"/>
        </w:num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>Choisir un problème de recherche</w:t>
      </w:r>
    </w:p>
    <w:p w:rsidR="00047DFE" w:rsidRDefault="00047DFE" w:rsidP="00047DFE">
      <w:pPr>
        <w:numPr>
          <w:ilvl w:val="0"/>
          <w:numId w:val="14"/>
        </w:num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Formulation d’un problème de recherche </w:t>
      </w:r>
    </w:p>
    <w:p w:rsidR="00047DFE" w:rsidRDefault="00047DFE" w:rsidP="00047DFE">
      <w:pPr>
        <w:pStyle w:val="Heading4"/>
        <w:numPr>
          <w:ilvl w:val="0"/>
          <w:numId w:val="14"/>
        </w:numPr>
        <w:ind w:right="720"/>
        <w:jc w:val="left"/>
        <w:rPr>
          <w:lang w:eastAsia="fr-FR"/>
        </w:rPr>
      </w:pPr>
      <w:r>
        <w:rPr>
          <w:lang w:eastAsia="fr-FR"/>
        </w:rPr>
        <w:t>La recension des écrits</w:t>
      </w:r>
    </w:p>
    <w:p w:rsidR="00047DFE" w:rsidRDefault="00047DFE" w:rsidP="00047DFE">
      <w:pPr>
        <w:numPr>
          <w:ilvl w:val="0"/>
          <w:numId w:val="14"/>
        </w:num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>Le cadre de référence</w:t>
      </w:r>
    </w:p>
    <w:p w:rsidR="00047DFE" w:rsidRDefault="00047DFE" w:rsidP="00047DFE">
      <w:pPr>
        <w:numPr>
          <w:ilvl w:val="0"/>
          <w:numId w:val="14"/>
        </w:num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>Les buts de la recherche et ses questions ou hypothèses</w:t>
      </w:r>
    </w:p>
    <w:p w:rsidR="00047DFE" w:rsidRDefault="00047DFE" w:rsidP="00047DFE">
      <w:pPr>
        <w:numPr>
          <w:ilvl w:val="0"/>
          <w:numId w:val="14"/>
        </w:num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>Notions d’étiques en recherche</w:t>
      </w:r>
    </w:p>
    <w:p w:rsidR="00047DFE" w:rsidRDefault="00047DFE" w:rsidP="00047DFE">
      <w:pPr>
        <w:spacing w:after="0" w:line="240" w:lineRule="auto"/>
        <w:ind w:left="360"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>10.Le devis de recherche</w:t>
      </w:r>
    </w:p>
    <w:p w:rsidR="00047DFE" w:rsidRDefault="00047DFE" w:rsidP="00047DFE">
      <w:pPr>
        <w:spacing w:after="0" w:line="240" w:lineRule="auto"/>
        <w:ind w:right="720" w:firstLine="284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 11.Approche de recherche qualitative</w:t>
      </w:r>
    </w:p>
    <w:p w:rsidR="00047DFE" w:rsidRDefault="00047DFE" w:rsidP="00047DFE">
      <w:pPr>
        <w:spacing w:after="0" w:line="240" w:lineRule="auto"/>
        <w:ind w:right="720" w:firstLine="284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>12.Les études de types descriptif</w:t>
      </w:r>
    </w:p>
    <w:p w:rsidR="00047DFE" w:rsidRDefault="00047DFE" w:rsidP="00047DFE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      13.Les études de type corrélationnel</w:t>
      </w:r>
    </w:p>
    <w:p w:rsidR="00047DFE" w:rsidRDefault="00047DFE" w:rsidP="00047DFE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      14.Les études de type expérimental</w:t>
      </w:r>
    </w:p>
    <w:p w:rsidR="00047DFE" w:rsidRDefault="00047DFE" w:rsidP="00047DFE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      15.Méthode d’échantillonnage</w:t>
      </w:r>
    </w:p>
    <w:p w:rsidR="00047DFE" w:rsidRDefault="00047DFE" w:rsidP="00047DFE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      16.La mesure en recherche</w:t>
      </w:r>
    </w:p>
    <w:p w:rsidR="00047DFE" w:rsidRDefault="00047DFE" w:rsidP="00047DFE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      17.Méthodes de collecte de données</w:t>
      </w:r>
    </w:p>
    <w:p w:rsidR="00047DFE" w:rsidRDefault="00047DFE" w:rsidP="00047DFE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      18.Analyse statistique des données</w:t>
      </w:r>
    </w:p>
    <w:p w:rsidR="00047DFE" w:rsidRDefault="00047DFE" w:rsidP="00047DFE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      19.Méthodes d’analyse des données en recherche qualitative</w:t>
      </w:r>
    </w:p>
    <w:p w:rsidR="00047DFE" w:rsidRDefault="00047DFE" w:rsidP="00047DFE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      20.La triangulation</w:t>
      </w:r>
    </w:p>
    <w:p w:rsidR="00047DFE" w:rsidRDefault="00047DFE" w:rsidP="00047DFE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      21.Présentation et interprétation des résultats</w:t>
      </w:r>
    </w:p>
    <w:p w:rsidR="00047DFE" w:rsidRDefault="00047DFE" w:rsidP="00047DFE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      22.Communication des résultats</w:t>
      </w:r>
    </w:p>
    <w:p w:rsidR="00047DFE" w:rsidRDefault="00047DFE" w:rsidP="00047DFE">
      <w:pPr>
        <w:spacing w:after="0" w:line="240" w:lineRule="auto"/>
        <w:ind w:right="720"/>
        <w:rPr>
          <w:sz w:val="28"/>
          <w:szCs w:val="28"/>
          <w:lang w:val="fr-FR" w:eastAsia="fr-FR"/>
        </w:rPr>
      </w:pPr>
      <w:r>
        <w:rPr>
          <w:sz w:val="28"/>
          <w:szCs w:val="28"/>
          <w:lang w:val="fr-FR" w:eastAsia="fr-FR"/>
        </w:rPr>
        <w:t xml:space="preserve">      23.Analyse critique des travaux de recherche</w:t>
      </w:r>
    </w:p>
    <w:p w:rsidR="00047DFE" w:rsidRDefault="00047DFE" w:rsidP="00047DFE">
      <w:pPr>
        <w:rPr>
          <w:sz w:val="28"/>
          <w:szCs w:val="28"/>
          <w:lang w:val="fr-FR" w:eastAsia="fr-FR"/>
        </w:rPr>
      </w:pPr>
    </w:p>
    <w:p w:rsidR="00047DFE" w:rsidRDefault="00047DFE" w:rsidP="00047DF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>
        <w:rPr>
          <w:sz w:val="28"/>
          <w:szCs w:val="28"/>
          <w:lang w:val="fr-CA" w:eastAsia="fr-FR"/>
        </w:rPr>
        <w:br w:type="page"/>
      </w:r>
    </w:p>
    <w:p w:rsidR="00047DFE" w:rsidRDefault="00047DFE" w:rsidP="00996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  <w:lang w:val="fr-FR"/>
        </w:rPr>
      </w:pPr>
    </w:p>
    <w:p w:rsidR="00511610" w:rsidRPr="00451C46" w:rsidRDefault="00511610" w:rsidP="00996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  <w:lang w:val="fr-FR"/>
        </w:rPr>
      </w:pPr>
      <w:r w:rsidRPr="00451C46">
        <w:rPr>
          <w:rFonts w:ascii="Times New Roman" w:hAnsi="Times New Roman" w:cs="Times New Roman"/>
          <w:b/>
          <w:bCs/>
          <w:sz w:val="48"/>
          <w:szCs w:val="48"/>
          <w:lang w:val="fr-FR"/>
        </w:rPr>
        <w:t>LT LAB 2020-2021</w:t>
      </w:r>
    </w:p>
    <w:p w:rsidR="00511610" w:rsidRDefault="00511610" w:rsidP="00996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Default="00511610" w:rsidP="00996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9941A0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HEMATOLOGIE </w:t>
      </w: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CLINIQUE</w:t>
      </w:r>
    </w:p>
    <w:p w:rsidR="00FF59B5" w:rsidRDefault="00FF59B5" w:rsidP="00996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 w:bidi="ar-LB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 w:bidi="ar-LB"/>
        </w:rPr>
        <w:t>علم الدم السريري</w:t>
      </w:r>
    </w:p>
    <w:p w:rsidR="00511610" w:rsidRPr="009941A0" w:rsidRDefault="00511610" w:rsidP="00996C6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RE"/>
        </w:rPr>
      </w:pPr>
      <w:r w:rsidRPr="00052291">
        <w:rPr>
          <w:rFonts w:ascii="Times New Roman" w:hAnsi="Times New Roman" w:cs="Times New Roman"/>
          <w:sz w:val="24"/>
          <w:szCs w:val="24"/>
          <w:lang w:val="fr-RE"/>
        </w:rPr>
        <w:t>Les Leucémies</w:t>
      </w:r>
    </w:p>
    <w:p w:rsidR="00511610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RE"/>
        </w:rPr>
      </w:pPr>
      <w:r>
        <w:rPr>
          <w:rFonts w:ascii="Times New Roman" w:hAnsi="Times New Roman" w:cs="Times New Roman"/>
          <w:sz w:val="24"/>
          <w:szCs w:val="24"/>
          <w:lang w:val="fr-RE"/>
        </w:rPr>
        <w:t>Les aplasies</w:t>
      </w:r>
    </w:p>
    <w:p w:rsidR="00511610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RE"/>
        </w:rPr>
      </w:pPr>
      <w:r w:rsidRPr="00F13ED3">
        <w:rPr>
          <w:rFonts w:ascii="Times New Roman" w:hAnsi="Times New Roman" w:cs="Times New Roman"/>
          <w:sz w:val="24"/>
          <w:szCs w:val="24"/>
          <w:lang w:val="fr-RE"/>
        </w:rPr>
        <w:t>Les syndromes myéloprolifératifs</w:t>
      </w:r>
    </w:p>
    <w:p w:rsidR="00511610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RE"/>
        </w:rPr>
      </w:pPr>
      <w:r w:rsidRPr="00052291">
        <w:rPr>
          <w:rFonts w:ascii="Times New Roman" w:hAnsi="Times New Roman" w:cs="Times New Roman"/>
          <w:sz w:val="24"/>
          <w:szCs w:val="24"/>
          <w:lang w:val="fr-RE"/>
        </w:rPr>
        <w:t>Les syndromes lymphoprolifératifs et les lymphomes</w:t>
      </w:r>
    </w:p>
    <w:p w:rsidR="00511610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RE"/>
        </w:rPr>
      </w:pPr>
      <w:r>
        <w:rPr>
          <w:rFonts w:ascii="Times New Roman" w:hAnsi="Times New Roman" w:cs="Times New Roman"/>
          <w:sz w:val="24"/>
          <w:szCs w:val="24"/>
          <w:lang w:val="fr-RE"/>
        </w:rPr>
        <w:t>Les syndromes myelodysplasiques</w:t>
      </w:r>
    </w:p>
    <w:p w:rsidR="00511610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RE"/>
        </w:rPr>
      </w:pPr>
      <w:r>
        <w:rPr>
          <w:rFonts w:ascii="Times New Roman" w:hAnsi="Times New Roman" w:cs="Times New Roman"/>
          <w:sz w:val="24"/>
          <w:szCs w:val="24"/>
          <w:lang w:val="fr-RE"/>
        </w:rPr>
        <w:t>Pathologie de l’hémostase</w:t>
      </w:r>
    </w:p>
    <w:p w:rsidR="00511610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Maladies congenitales</w:t>
      </w:r>
    </w:p>
    <w:p w:rsidR="00511610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Maladies acquises</w:t>
      </w:r>
    </w:p>
    <w:p w:rsidR="00511610" w:rsidRPr="00052291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thromboses</w:t>
      </w:r>
    </w:p>
    <w:p w:rsidR="00511610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052291">
        <w:rPr>
          <w:rFonts w:ascii="Times New Roman" w:hAnsi="Times New Roman" w:cs="Times New Roman"/>
          <w:sz w:val="24"/>
          <w:szCs w:val="24"/>
          <w:lang w:val="fr-FR"/>
        </w:rPr>
        <w:t>Electrophorèse de l’hémoglobine et HPLC</w:t>
      </w:r>
    </w:p>
    <w:p w:rsidR="00511610" w:rsidRPr="00052291" w:rsidRDefault="00511610" w:rsidP="00D42DEE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Pr="00052291" w:rsidRDefault="00511610" w:rsidP="000C7E9C">
      <w:pPr>
        <w:pStyle w:val="NoSpacing"/>
        <w:numPr>
          <w:ilvl w:val="0"/>
          <w:numId w:val="5"/>
        </w:numPr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r w:rsidRPr="00052291">
        <w:rPr>
          <w:rFonts w:ascii="Times New Roman" w:hAnsi="Times New Roman" w:cs="Times New Roman"/>
          <w:sz w:val="24"/>
          <w:szCs w:val="24"/>
          <w:lang w:val="fr-FR"/>
        </w:rPr>
        <w:t>Diagnostic de laboratoire des différents types des anémies</w:t>
      </w:r>
      <w:r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511610" w:rsidRDefault="00511610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Default="00511610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FF59B5" w:rsidRDefault="00FF59B5" w:rsidP="00052291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41BC3" w:rsidRDefault="00741BC3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  <w:sectPr w:rsidR="00741BC3" w:rsidSect="00EB204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1610" w:rsidRDefault="00511610" w:rsidP="00741B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lastRenderedPageBreak/>
        <w:t>QUALITE ET ACCREDITATION</w:t>
      </w:r>
    </w:p>
    <w:p w:rsidR="00FF59B5" w:rsidRPr="009941A0" w:rsidRDefault="00FF59B5" w:rsidP="000522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الجودة و الاعتماد</w:t>
      </w:r>
    </w:p>
    <w:p w:rsidR="00511610" w:rsidRDefault="00511610" w:rsidP="00052291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67388">
        <w:rPr>
          <w:rFonts w:ascii="Times New Roman" w:hAnsi="Times New Roman" w:cs="Times New Roman"/>
          <w:sz w:val="24"/>
          <w:szCs w:val="24"/>
          <w:lang w:val="fr-FR"/>
        </w:rPr>
        <w:t>Introduction à la qualité</w:t>
      </w: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67388">
        <w:rPr>
          <w:rFonts w:ascii="Times New Roman" w:hAnsi="Times New Roman" w:cs="Times New Roman"/>
          <w:sz w:val="24"/>
          <w:szCs w:val="24"/>
          <w:lang w:val="fr-FR"/>
        </w:rPr>
        <w:t>Contrôle des Procédés : Gestion des échantillons</w:t>
      </w: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67388">
        <w:rPr>
          <w:rFonts w:ascii="Times New Roman" w:hAnsi="Times New Roman" w:cs="Times New Roman"/>
          <w:sz w:val="24"/>
          <w:szCs w:val="24"/>
          <w:lang w:val="fr-FR"/>
        </w:rPr>
        <w:t>Contrôle des Procédés : Contrôle de Qualité des tests quantitatifs</w:t>
      </w: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67388">
        <w:rPr>
          <w:rFonts w:ascii="Times New Roman" w:hAnsi="Times New Roman" w:cs="Times New Roman"/>
          <w:sz w:val="24"/>
          <w:szCs w:val="24"/>
          <w:lang w:val="fr-FR"/>
        </w:rPr>
        <w:t>Contrôle des Procédés : Contrôle Qualité pour les procédures qualitatives et semi quantitatives</w:t>
      </w: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67388">
        <w:rPr>
          <w:rFonts w:ascii="Times New Roman" w:hAnsi="Times New Roman" w:cs="Times New Roman"/>
          <w:sz w:val="24"/>
          <w:szCs w:val="24"/>
          <w:lang w:val="fr-FR"/>
        </w:rPr>
        <w:t>Evaluation : Audits</w:t>
      </w: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67388">
        <w:rPr>
          <w:rFonts w:ascii="Times New Roman" w:hAnsi="Times New Roman" w:cs="Times New Roman"/>
          <w:sz w:val="24"/>
          <w:szCs w:val="24"/>
          <w:lang w:val="fr-FR"/>
        </w:rPr>
        <w:t>Evaluation : Evaluation Externe de la Qualité</w:t>
      </w: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Evaluation : </w:t>
      </w:r>
      <w:r w:rsidRPr="00067388">
        <w:rPr>
          <w:rFonts w:ascii="Times New Roman" w:hAnsi="Times New Roman" w:cs="Times New Roman"/>
          <w:sz w:val="24"/>
          <w:szCs w:val="24"/>
          <w:lang w:val="fr-FR"/>
        </w:rPr>
        <w:t>Normes et Accréditation</w:t>
      </w:r>
    </w:p>
    <w:p w:rsidR="00511610" w:rsidRPr="002413AF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Personnel</w:t>
      </w:r>
    </w:p>
    <w:p w:rsidR="00511610" w:rsidRPr="002413AF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Service Clients</w:t>
      </w:r>
    </w:p>
    <w:p w:rsidR="00511610" w:rsidRPr="002413AF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Gestion des Problèmes</w:t>
      </w:r>
    </w:p>
    <w:p w:rsidR="00511610" w:rsidRPr="002413AF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Processus d’amélioration</w:t>
      </w:r>
    </w:p>
    <w:p w:rsidR="00511610" w:rsidRDefault="00511610" w:rsidP="000C7E9C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Documents et Registres</w:t>
      </w: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FF59B5" w:rsidRDefault="00FF59B5" w:rsidP="00FF59B5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741BC3" w:rsidRDefault="00741BC3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  <w:sectPr w:rsidR="00741BC3" w:rsidSect="00EB204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1610" w:rsidRDefault="00511610" w:rsidP="00741B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lastRenderedPageBreak/>
        <w:t>MICROBIOLOGIE CLINIQUE</w:t>
      </w:r>
    </w:p>
    <w:p w:rsidR="00FF59B5" w:rsidRPr="009941A0" w:rsidRDefault="00FF59B5" w:rsidP="002413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علم الاحياء الدقيقة السريرية</w:t>
      </w:r>
    </w:p>
    <w:p w:rsidR="00511610" w:rsidRPr="003A01A4" w:rsidRDefault="00511610" w:rsidP="002413AF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Apport de la biologie moléculaire en bactériologie</w:t>
      </w:r>
    </w:p>
    <w:p w:rsidR="00511610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Antibiotiques : </w:t>
      </w:r>
    </w:p>
    <w:p w:rsidR="00511610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Classification et familles</w:t>
      </w:r>
    </w:p>
    <w:p w:rsidR="00511610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Résistance bactérienne</w:t>
      </w:r>
    </w:p>
    <w:p w:rsidR="00511610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Antibiothérapie (choix d’un antibiotique)</w:t>
      </w:r>
    </w:p>
    <w:p w:rsidR="00511610" w:rsidRDefault="00511610" w:rsidP="00D42DEE">
      <w:pPr>
        <w:pStyle w:val="NoSpacing"/>
        <w:ind w:left="360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Pr="003A01A4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Infections bactériennes du système nerveux</w:t>
      </w:r>
    </w:p>
    <w:p w:rsidR="00511610" w:rsidRPr="003A01A4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Infections ORL</w:t>
      </w:r>
    </w:p>
    <w:p w:rsidR="00511610" w:rsidRPr="003A01A4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Infections du système urinaire</w:t>
      </w:r>
    </w:p>
    <w:p w:rsidR="00511610" w:rsidRPr="003A01A4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Infections broncho-pulmonaires</w:t>
      </w:r>
    </w:p>
    <w:p w:rsidR="00511610" w:rsidRPr="003A01A4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Infections génitales et infections sexuellement transmises</w:t>
      </w:r>
    </w:p>
    <w:p w:rsidR="00511610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Infections ostéo-articulaires</w:t>
      </w:r>
    </w:p>
    <w:p w:rsidR="00511610" w:rsidRPr="003A01A4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Bactériémies et septicémies</w:t>
      </w:r>
    </w:p>
    <w:p w:rsidR="00511610" w:rsidRPr="00D42DEE" w:rsidRDefault="00511610" w:rsidP="00D42DEE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Infections nosocomiales</w:t>
      </w:r>
    </w:p>
    <w:p w:rsidR="00511610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D</w:t>
      </w:r>
      <w:r w:rsidRPr="003A01A4">
        <w:rPr>
          <w:rFonts w:ascii="Times New Roman" w:hAnsi="Times New Roman" w:cs="Times New Roman"/>
          <w:sz w:val="24"/>
          <w:szCs w:val="24"/>
          <w:lang w:val="fr-FR"/>
        </w:rPr>
        <w:t>iarrhées bactériennes</w:t>
      </w:r>
    </w:p>
    <w:p w:rsidR="00511610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3A01A4">
        <w:rPr>
          <w:rFonts w:ascii="Times New Roman" w:hAnsi="Times New Roman" w:cs="Times New Roman"/>
          <w:sz w:val="24"/>
          <w:szCs w:val="24"/>
          <w:lang w:val="fr-FR"/>
        </w:rPr>
        <w:t>Tuberculose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511610" w:rsidRDefault="00511610" w:rsidP="000C7E9C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Mycoses profondes</w:t>
      </w: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rtl/>
          <w:lang w:val="fr-FR"/>
        </w:rPr>
      </w:pPr>
    </w:p>
    <w:p w:rsidR="007D6743" w:rsidRDefault="007D6743" w:rsidP="007D6743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741BC3" w:rsidRDefault="00741BC3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  <w:sectPr w:rsidR="00741BC3" w:rsidSect="00EB204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1610" w:rsidRDefault="00511610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Default="00511610" w:rsidP="002413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DEONTOLOGIE ET SECURITE </w:t>
      </w:r>
      <w:r w:rsidR="007D6743">
        <w:rPr>
          <w:rFonts w:ascii="Times New Roman" w:hAnsi="Times New Roman" w:cs="Times New Roman"/>
          <w:b/>
          <w:bCs/>
          <w:sz w:val="24"/>
          <w:szCs w:val="24"/>
          <w:lang w:val="fr-FR"/>
        </w:rPr>
        <w:t>PROFESSIONNELLE</w:t>
      </w:r>
    </w:p>
    <w:p w:rsidR="007D6743" w:rsidRDefault="007D6743" w:rsidP="002413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علم الاخلاق و الاخلاق المهنية</w:t>
      </w:r>
    </w:p>
    <w:p w:rsidR="00511610" w:rsidRDefault="00511610" w:rsidP="002413A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Default="00511610" w:rsidP="002413A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Déontologie :</w:t>
      </w:r>
    </w:p>
    <w:p w:rsidR="00511610" w:rsidRPr="002413AF" w:rsidRDefault="00511610" w:rsidP="002413AF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Pr="002413AF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Introduction</w:t>
      </w:r>
    </w:p>
    <w:p w:rsidR="00511610" w:rsidRPr="002413AF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Devoirs envers les clients, la profession et le public</w:t>
      </w:r>
    </w:p>
    <w:p w:rsidR="00511610" w:rsidRPr="002413AF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Compétence et intégrité</w:t>
      </w:r>
    </w:p>
    <w:p w:rsidR="00511610" w:rsidRPr="002413AF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Conduite</w:t>
      </w:r>
    </w:p>
    <w:p w:rsidR="00511610" w:rsidRPr="002413AF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Responsabilité</w:t>
      </w:r>
    </w:p>
    <w:p w:rsidR="00511610" w:rsidRPr="002413AF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Information, choix et consentement du client</w:t>
      </w:r>
    </w:p>
    <w:p w:rsidR="00511610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413AF">
        <w:rPr>
          <w:rFonts w:ascii="Times New Roman" w:hAnsi="Times New Roman" w:cs="Times New Roman"/>
          <w:sz w:val="24"/>
          <w:szCs w:val="24"/>
          <w:lang w:val="fr-FR"/>
        </w:rPr>
        <w:t>Actes dérogatoires à la dignité de la profession</w:t>
      </w:r>
    </w:p>
    <w:p w:rsidR="00511610" w:rsidRDefault="00511610" w:rsidP="000C7E9C">
      <w:pPr>
        <w:pStyle w:val="NoSpacing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Confidentialité</w:t>
      </w:r>
    </w:p>
    <w:p w:rsidR="00511610" w:rsidRDefault="00511610" w:rsidP="002413AF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Default="00511610" w:rsidP="00A05FB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Sécurité professionnelle</w:t>
      </w:r>
    </w:p>
    <w:p w:rsidR="00511610" w:rsidRDefault="00511610" w:rsidP="002413AF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Default="00511610" w:rsidP="000C7E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35991">
        <w:rPr>
          <w:rFonts w:ascii="Times New Roman" w:hAnsi="Times New Roman" w:cs="Times New Roman"/>
          <w:sz w:val="24"/>
          <w:szCs w:val="24"/>
          <w:lang w:val="fr-FR"/>
        </w:rPr>
        <w:t>Les prélèvements sanguins :</w:t>
      </w:r>
    </w:p>
    <w:p w:rsidR="00511610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35991">
        <w:rPr>
          <w:rFonts w:ascii="Times New Roman" w:hAnsi="Times New Roman" w:cs="Times New Roman"/>
          <w:sz w:val="24"/>
          <w:szCs w:val="24"/>
          <w:lang w:val="fr-FR"/>
        </w:rPr>
        <w:t>circonstance</w:t>
      </w:r>
      <w:r>
        <w:rPr>
          <w:rFonts w:ascii="Times New Roman" w:hAnsi="Times New Roman" w:cs="Times New Roman"/>
          <w:sz w:val="24"/>
          <w:szCs w:val="24"/>
          <w:lang w:val="fr-FR"/>
        </w:rPr>
        <w:t>s</w:t>
      </w:r>
      <w:r w:rsidRPr="00235991">
        <w:rPr>
          <w:rFonts w:ascii="Times New Roman" w:hAnsi="Times New Roman" w:cs="Times New Roman"/>
          <w:sz w:val="24"/>
          <w:szCs w:val="24"/>
          <w:lang w:val="fr-FR"/>
        </w:rPr>
        <w:t xml:space="preserve"> d’accidents</w:t>
      </w:r>
    </w:p>
    <w:p w:rsidR="00511610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 w:rsidRPr="00235991">
        <w:rPr>
          <w:rFonts w:ascii="Times New Roman" w:hAnsi="Times New Roman" w:cs="Times New Roman"/>
          <w:sz w:val="24"/>
          <w:szCs w:val="24"/>
          <w:lang w:val="fr-FR"/>
        </w:rPr>
        <w:t>procédures à risqu</w:t>
      </w:r>
      <w:r>
        <w:rPr>
          <w:rFonts w:ascii="Times New Roman" w:hAnsi="Times New Roman" w:cs="Times New Roman"/>
          <w:sz w:val="24"/>
          <w:szCs w:val="24"/>
          <w:lang w:val="fr-FR"/>
        </w:rPr>
        <w:t>e</w:t>
      </w:r>
    </w:p>
    <w:p w:rsidR="00511610" w:rsidRPr="00235991" w:rsidRDefault="00511610" w:rsidP="000C7E9C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préventi</w:t>
      </w:r>
      <w:r w:rsidRPr="00235991">
        <w:rPr>
          <w:rFonts w:ascii="Times New Roman" w:hAnsi="Times New Roman" w:cs="Times New Roman"/>
          <w:sz w:val="24"/>
          <w:szCs w:val="24"/>
          <w:lang w:val="fr-FR"/>
        </w:rPr>
        <w:t>on</w:t>
      </w:r>
    </w:p>
    <w:p w:rsidR="00511610" w:rsidRDefault="00511610" w:rsidP="000C7E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Evaluation et maîtrise des risques générés par les activités des laboratoires d’analyses biologiques (les accidents au laboratoire et leurs causes)</w:t>
      </w:r>
    </w:p>
    <w:p w:rsidR="00511610" w:rsidRPr="00235991" w:rsidRDefault="00511610" w:rsidP="000C7E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35991">
        <w:rPr>
          <w:rFonts w:ascii="Times New Roman" w:hAnsi="Times New Roman" w:cs="Times New Roman"/>
          <w:sz w:val="24"/>
          <w:szCs w:val="24"/>
          <w:lang w:val="fr-FR"/>
        </w:rPr>
        <w:t xml:space="preserve">Les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risques liés </w:t>
      </w:r>
      <w:r w:rsidRPr="00235991">
        <w:rPr>
          <w:rFonts w:ascii="Times New Roman" w:hAnsi="Times New Roman" w:cs="Times New Roman"/>
          <w:sz w:val="24"/>
          <w:szCs w:val="24"/>
          <w:lang w:val="fr-FR"/>
        </w:rPr>
        <w:t>à l’utilisation des produits chimiques</w:t>
      </w:r>
    </w:p>
    <w:p w:rsidR="00511610" w:rsidRDefault="00511610" w:rsidP="000C7E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35991">
        <w:rPr>
          <w:rFonts w:ascii="Times New Roman" w:hAnsi="Times New Roman" w:cs="Times New Roman"/>
          <w:sz w:val="24"/>
          <w:szCs w:val="24"/>
          <w:lang w:val="fr-FR"/>
        </w:rPr>
        <w:t>Les risques biologiques et leur prévention</w:t>
      </w:r>
    </w:p>
    <w:p w:rsidR="00511610" w:rsidRDefault="00511610" w:rsidP="009A34C7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Default="00511610" w:rsidP="000C7E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 rôle du laboratoire dans la prévention des risques professionnels</w:t>
      </w:r>
    </w:p>
    <w:p w:rsidR="00511610" w:rsidRDefault="00511610" w:rsidP="000C7E9C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235991">
        <w:rPr>
          <w:rFonts w:ascii="Times New Roman" w:hAnsi="Times New Roman" w:cs="Times New Roman"/>
          <w:sz w:val="24"/>
          <w:szCs w:val="24"/>
          <w:lang w:val="fr-FR"/>
        </w:rPr>
        <w:t>Le traitement des déchets du laboratoire</w:t>
      </w:r>
    </w:p>
    <w:p w:rsidR="00511610" w:rsidRPr="00235991" w:rsidRDefault="00511610" w:rsidP="009A34C7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Default="00511610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Default="00511610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741BC3" w:rsidRDefault="00741BC3" w:rsidP="00741BC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  <w:sectPr w:rsidR="00741BC3" w:rsidSect="00EB204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1610" w:rsidRDefault="00511610" w:rsidP="00741B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  <w:r w:rsidRPr="00A05FB2">
        <w:rPr>
          <w:rFonts w:ascii="Times New Roman" w:hAnsi="Times New Roman" w:cs="Times New Roman"/>
          <w:b/>
          <w:bCs/>
          <w:sz w:val="24"/>
          <w:szCs w:val="24"/>
          <w:lang w:val="fr-FR"/>
        </w:rPr>
        <w:lastRenderedPageBreak/>
        <w:t>BIOLOGIE MOLECULAIRE</w:t>
      </w:r>
    </w:p>
    <w:p w:rsidR="00C40FBD" w:rsidRDefault="00C40FBD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البيولوجيا الجزئية</w:t>
      </w:r>
    </w:p>
    <w:p w:rsidR="00511610" w:rsidRPr="00A05FB2" w:rsidRDefault="00511610" w:rsidP="00A05F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</w:t>
      </w:r>
    </w:p>
    <w:p w:rsidR="00511610" w:rsidRPr="00A05FB2" w:rsidRDefault="00511610" w:rsidP="000C7E9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Expression des gè</w:t>
      </w:r>
      <w:r>
        <w:rPr>
          <w:rFonts w:ascii="Times New Roman" w:hAnsi="Times New Roman" w:cs="Times New Roman"/>
          <w:sz w:val="24"/>
          <w:szCs w:val="24"/>
          <w:lang w:val="fr-FR"/>
        </w:rPr>
        <w:t>nes eucaryotes</w:t>
      </w:r>
    </w:p>
    <w:p w:rsidR="00511610" w:rsidRPr="00A05FB2" w:rsidRDefault="00511610" w:rsidP="000C7E9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Techniques générales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d’études des acides nucléiques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Extraction d’ADN à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partir des leucocytes sanguins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Préparation des ARN totaux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Dosage des acides nucléiques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Séparation des acides nucléiques dans les gels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d’agarose et de polyacrylamide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Ultracentr</w:t>
      </w:r>
      <w:r>
        <w:rPr>
          <w:rFonts w:ascii="Times New Roman" w:hAnsi="Times New Roman" w:cs="Times New Roman"/>
          <w:sz w:val="24"/>
          <w:szCs w:val="24"/>
          <w:lang w:val="fr-FR"/>
        </w:rPr>
        <w:t>ifugation des acides nucléiques</w:t>
      </w:r>
    </w:p>
    <w:p w:rsidR="00511610" w:rsidRPr="00A05FB2" w:rsidRDefault="00511610" w:rsidP="000C7E9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</w:rPr>
        <w:t>Polymerase chain reaction</w:t>
      </w:r>
      <w:r w:rsidRPr="00A05FB2">
        <w:rPr>
          <w:rFonts w:ascii="Times New Roman" w:hAnsi="Times New Roman" w:cs="Times New Roman"/>
          <w:sz w:val="24"/>
          <w:szCs w:val="24"/>
          <w:lang w:val="fr-FR"/>
        </w:rPr>
        <w:t xml:space="preserve"> (PCR)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Principe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Paramètre</w:t>
      </w:r>
      <w:r>
        <w:rPr>
          <w:rFonts w:ascii="Times New Roman" w:hAnsi="Times New Roman" w:cs="Times New Roman"/>
          <w:sz w:val="24"/>
          <w:szCs w:val="24"/>
          <w:lang w:val="fr-FR"/>
        </w:rPr>
        <w:t>s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Les différents types de PCR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Applications</w:t>
      </w:r>
    </w:p>
    <w:p w:rsidR="00511610" w:rsidRPr="00A05FB2" w:rsidRDefault="00511610" w:rsidP="000C7E9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Hybridation moléculaire sur support solide: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Conditions d’hy</w:t>
      </w:r>
      <w:r>
        <w:rPr>
          <w:rFonts w:ascii="Times New Roman" w:hAnsi="Times New Roman" w:cs="Times New Roman"/>
          <w:sz w:val="24"/>
          <w:szCs w:val="24"/>
          <w:lang w:val="fr-FR"/>
        </w:rPr>
        <w:t>bridation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Les sondes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Le Sou</w:t>
      </w:r>
      <w:r>
        <w:rPr>
          <w:rFonts w:ascii="Times New Roman" w:hAnsi="Times New Roman" w:cs="Times New Roman"/>
          <w:sz w:val="24"/>
          <w:szCs w:val="24"/>
          <w:lang w:val="fr-FR"/>
        </w:rPr>
        <w:t>thern blot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Le N</w:t>
      </w:r>
      <w:r>
        <w:rPr>
          <w:rFonts w:ascii="Times New Roman" w:hAnsi="Times New Roman" w:cs="Times New Roman"/>
          <w:sz w:val="24"/>
          <w:szCs w:val="24"/>
          <w:lang w:val="fr-FR"/>
        </w:rPr>
        <w:t>orthern blot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Hybridation in situ</w:t>
      </w:r>
    </w:p>
    <w:p w:rsidR="00511610" w:rsidRPr="00A05FB2" w:rsidRDefault="00511610" w:rsidP="000C7E9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Les sondes et leurs marquages: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Types.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Stratégies.</w:t>
      </w:r>
    </w:p>
    <w:p w:rsidR="00511610" w:rsidRPr="00A05FB2" w:rsidRDefault="00511610" w:rsidP="000C7E9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Séquençage de l’ADN</w:t>
      </w:r>
    </w:p>
    <w:p w:rsidR="00511610" w:rsidRPr="00A05FB2" w:rsidRDefault="00511610" w:rsidP="000C7E9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Modification du matériel génétique</w:t>
      </w:r>
      <w:r>
        <w:rPr>
          <w:rFonts w:ascii="Times New Roman" w:hAnsi="Times New Roman" w:cs="Times New Roman"/>
          <w:sz w:val="24"/>
          <w:szCs w:val="24"/>
          <w:lang w:val="fr-FR"/>
        </w:rPr>
        <w:t> :</w:t>
      </w:r>
    </w:p>
    <w:p w:rsidR="00511610" w:rsidRPr="00A05FB2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Muta</w:t>
      </w:r>
      <w:r w:rsidRPr="00A05FB2">
        <w:rPr>
          <w:rFonts w:ascii="Times New Roman" w:hAnsi="Times New Roman" w:cs="Times New Roman"/>
          <w:sz w:val="24"/>
          <w:szCs w:val="24"/>
          <w:lang w:val="fr-FR"/>
        </w:rPr>
        <w:t>génè</w:t>
      </w:r>
      <w:r>
        <w:rPr>
          <w:rFonts w:ascii="Times New Roman" w:hAnsi="Times New Roman" w:cs="Times New Roman"/>
          <w:sz w:val="24"/>
          <w:szCs w:val="24"/>
          <w:lang w:val="fr-FR"/>
        </w:rPr>
        <w:t>se</w:t>
      </w:r>
    </w:p>
    <w:p w:rsidR="0051161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A05FB2">
        <w:rPr>
          <w:rFonts w:ascii="Times New Roman" w:hAnsi="Times New Roman" w:cs="Times New Roman"/>
          <w:sz w:val="24"/>
          <w:szCs w:val="24"/>
          <w:lang w:val="fr-FR"/>
        </w:rPr>
        <w:t>Transgénèse.</w:t>
      </w:r>
    </w:p>
    <w:p w:rsidR="00EE5D50" w:rsidRDefault="00EE5D50" w:rsidP="00EE5D50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EE5D50" w:rsidRDefault="00EE5D50" w:rsidP="00EE5D50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EE5D50" w:rsidRDefault="00EE5D50" w:rsidP="00EE5D50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EE5D50" w:rsidRDefault="00EE5D50" w:rsidP="00EE5D50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EE5D50" w:rsidRDefault="00EE5D50" w:rsidP="00EE5D50">
      <w:pPr>
        <w:jc w:val="both"/>
        <w:rPr>
          <w:rFonts w:ascii="Times New Roman" w:hAnsi="Times New Roman" w:cs="Times New Roman"/>
          <w:sz w:val="24"/>
          <w:szCs w:val="24"/>
          <w:rtl/>
          <w:lang w:val="fr-FR" w:bidi="ar-LB"/>
        </w:rPr>
      </w:pPr>
    </w:p>
    <w:p w:rsidR="00741BC3" w:rsidRDefault="00741BC3" w:rsidP="006152F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fr-FR"/>
        </w:rPr>
        <w:sectPr w:rsidR="00741BC3" w:rsidSect="00EB204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1610" w:rsidRDefault="00511610" w:rsidP="001E4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lastRenderedPageBreak/>
        <w:t>GENETIQUE MEDICALE</w:t>
      </w:r>
    </w:p>
    <w:p w:rsidR="00EE5D50" w:rsidRDefault="00EE5D50" w:rsidP="000A7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علم الوراثة</w:t>
      </w:r>
    </w:p>
    <w:p w:rsidR="00511610" w:rsidRPr="000A70F0" w:rsidRDefault="00511610" w:rsidP="000A7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Pr="000A70F0" w:rsidRDefault="00511610" w:rsidP="000C7E9C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 caryotype humain normal :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 xml:space="preserve">Description du chromosome 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Classification des humains (classification de Denver,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A70F0">
        <w:rPr>
          <w:rFonts w:ascii="Times New Roman" w:hAnsi="Times New Roman" w:cs="Times New Roman"/>
          <w:sz w:val="24"/>
          <w:szCs w:val="24"/>
          <w:lang w:val="fr-FR"/>
        </w:rPr>
        <w:t>1960):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Deux critères: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A70F0">
        <w:rPr>
          <w:rFonts w:ascii="Times New Roman" w:hAnsi="Times New Roman" w:cs="Times New Roman"/>
          <w:sz w:val="24"/>
          <w:szCs w:val="24"/>
          <w:lang w:val="fr-FR"/>
        </w:rPr>
        <w:t>taille décro</w:t>
      </w:r>
      <w:r>
        <w:rPr>
          <w:rFonts w:ascii="Times New Roman" w:hAnsi="Times New Roman" w:cs="Times New Roman"/>
          <w:sz w:val="24"/>
          <w:szCs w:val="24"/>
          <w:lang w:val="fr-FR"/>
        </w:rPr>
        <w:t>issante et indice centromérique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Chromosomes métacentriques, sub-métacentriques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et acrocentriques-groupes A G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Variants normaux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Marquage en bandes des chromosomes (nomenclature de Paris,1971;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A70F0">
        <w:rPr>
          <w:rFonts w:ascii="Times New Roman" w:hAnsi="Times New Roman" w:cs="Times New Roman"/>
          <w:sz w:val="24"/>
          <w:szCs w:val="24"/>
          <w:lang w:val="fr-FR"/>
        </w:rPr>
        <w:t>ISCN 1978)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Bandes A, G, R, C, T, N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 xml:space="preserve">Techniques </w:t>
      </w:r>
      <w:r>
        <w:rPr>
          <w:rFonts w:ascii="Times New Roman" w:hAnsi="Times New Roman" w:cs="Times New Roman"/>
          <w:sz w:val="24"/>
          <w:szCs w:val="24"/>
          <w:lang w:val="fr-FR"/>
        </w:rPr>
        <w:t>de haute résolution (ISCN, 1981)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Chromosomes en prométaphase, voire en prophase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Désignation des ban</w:t>
      </w:r>
      <w:r>
        <w:rPr>
          <w:rFonts w:ascii="Times New Roman" w:hAnsi="Times New Roman" w:cs="Times New Roman"/>
          <w:sz w:val="24"/>
          <w:szCs w:val="24"/>
          <w:lang w:val="fr-FR"/>
        </w:rPr>
        <w:t>des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Indications</w:t>
      </w:r>
    </w:p>
    <w:p w:rsidR="00511610" w:rsidRPr="000A70F0" w:rsidRDefault="00511610" w:rsidP="000C7E9C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 xml:space="preserve">Les anomalies chromosomiques: </w:t>
      </w:r>
      <w:r>
        <w:rPr>
          <w:rFonts w:ascii="Times New Roman" w:hAnsi="Times New Roman" w:cs="Times New Roman"/>
          <w:sz w:val="24"/>
          <w:szCs w:val="24"/>
          <w:lang w:val="fr-FR"/>
        </w:rPr>
        <w:t>d</w:t>
      </w:r>
      <w:r w:rsidRPr="000A70F0">
        <w:rPr>
          <w:rFonts w:ascii="Times New Roman" w:hAnsi="Times New Roman" w:cs="Times New Roman"/>
          <w:sz w:val="24"/>
          <w:szCs w:val="24"/>
          <w:lang w:val="fr-FR"/>
        </w:rPr>
        <w:t>escription,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A70F0">
        <w:rPr>
          <w:rFonts w:ascii="Times New Roman" w:hAnsi="Times New Roman" w:cs="Times New Roman"/>
          <w:sz w:val="24"/>
          <w:szCs w:val="24"/>
          <w:lang w:val="fr-FR"/>
        </w:rPr>
        <w:t>mécanismes et consé</w:t>
      </w:r>
      <w:r>
        <w:rPr>
          <w:rFonts w:ascii="Times New Roman" w:hAnsi="Times New Roman" w:cs="Times New Roman"/>
          <w:sz w:val="24"/>
          <w:szCs w:val="24"/>
          <w:lang w:val="fr-FR"/>
        </w:rPr>
        <w:t>quences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Les anomalies de nombre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Polyploïdie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Aneuploïdie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Mosaïques et chimères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Les anomalies de structure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R</w:t>
      </w:r>
      <w:r>
        <w:rPr>
          <w:rFonts w:ascii="Times New Roman" w:hAnsi="Times New Roman" w:cs="Times New Roman"/>
          <w:sz w:val="24"/>
          <w:szCs w:val="24"/>
          <w:lang w:val="fr-FR"/>
        </w:rPr>
        <w:t>emaniements intra-chromosomiques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Remaniements inter-</w:t>
      </w:r>
      <w:r>
        <w:rPr>
          <w:rFonts w:ascii="Times New Roman" w:hAnsi="Times New Roman" w:cs="Times New Roman"/>
          <w:sz w:val="24"/>
          <w:szCs w:val="24"/>
          <w:lang w:val="fr-FR"/>
        </w:rPr>
        <w:t>chromosomiques</w:t>
      </w:r>
    </w:p>
    <w:p w:rsidR="00511610" w:rsidRPr="000A70F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Conséquenc</w:t>
      </w:r>
      <w:r>
        <w:rPr>
          <w:rFonts w:ascii="Times New Roman" w:hAnsi="Times New Roman" w:cs="Times New Roman"/>
          <w:sz w:val="24"/>
          <w:szCs w:val="24"/>
          <w:lang w:val="fr-FR"/>
        </w:rPr>
        <w:t>es du remaniement sur la méiose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Nomenclature internationale</w:t>
      </w:r>
    </w:p>
    <w:p w:rsidR="00511610" w:rsidRPr="000A70F0" w:rsidRDefault="00511610" w:rsidP="000C7E9C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70F0">
        <w:rPr>
          <w:rFonts w:ascii="Times New Roman" w:hAnsi="Times New Roman" w:cs="Times New Roman"/>
          <w:sz w:val="24"/>
          <w:szCs w:val="24"/>
          <w:lang w:val="fr-FR"/>
        </w:rPr>
        <w:t>Génétique bactérienne: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Transformation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Conjugaison</w:t>
      </w:r>
    </w:p>
    <w:p w:rsidR="00511610" w:rsidRPr="000A70F0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Transduction</w:t>
      </w:r>
    </w:p>
    <w:p w:rsidR="00511610" w:rsidRDefault="00511610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6152FB" w:rsidRDefault="006152FB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6152FB" w:rsidRDefault="006152FB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6152FB" w:rsidRDefault="006152FB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6152FB" w:rsidRDefault="006152FB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6152FB" w:rsidRDefault="006152FB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6152FB" w:rsidRDefault="006152FB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6152FB" w:rsidRDefault="006152FB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1E4EB8" w:rsidRDefault="001E4EB8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1E4EB8" w:rsidRDefault="001E4EB8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1E4EB8" w:rsidRDefault="001E4EB8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1E4EB8" w:rsidRDefault="001E4EB8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</w:pPr>
    </w:p>
    <w:p w:rsidR="001E4EB8" w:rsidRDefault="001E4EB8" w:rsidP="00052291">
      <w:pPr>
        <w:pStyle w:val="NoSpacing"/>
        <w:rPr>
          <w:rFonts w:ascii="Times New Roman" w:hAnsi="Times New Roman" w:cs="Times New Roman"/>
          <w:sz w:val="24"/>
          <w:szCs w:val="24"/>
          <w:lang w:val="fr-FR"/>
        </w:rPr>
        <w:sectPr w:rsidR="001E4EB8" w:rsidSect="00EB204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1610" w:rsidRDefault="00511610" w:rsidP="006152FB">
      <w:pPr>
        <w:spacing w:after="0" w:line="240" w:lineRule="auto"/>
        <w:jc w:val="center"/>
        <w:rPr>
          <w:b/>
          <w:bCs/>
          <w:sz w:val="32"/>
          <w:szCs w:val="32"/>
          <w:rtl/>
          <w:lang w:val="fr-FR"/>
        </w:rPr>
      </w:pPr>
      <w:r w:rsidRPr="00AE1959">
        <w:rPr>
          <w:b/>
          <w:bCs/>
          <w:sz w:val="32"/>
          <w:szCs w:val="32"/>
          <w:lang w:val="fr-FR"/>
        </w:rPr>
        <w:lastRenderedPageBreak/>
        <w:t>VIROLOGIE</w:t>
      </w:r>
    </w:p>
    <w:p w:rsidR="00AE1959" w:rsidRPr="00AE1959" w:rsidRDefault="00AE1959" w:rsidP="00451C46">
      <w:pPr>
        <w:spacing w:after="0" w:line="240" w:lineRule="auto"/>
        <w:jc w:val="center"/>
        <w:rPr>
          <w:b/>
          <w:bCs/>
          <w:sz w:val="32"/>
          <w:szCs w:val="32"/>
          <w:lang w:val="fr-FR"/>
        </w:rPr>
      </w:pPr>
      <w:r>
        <w:rPr>
          <w:rFonts w:hint="cs"/>
          <w:b/>
          <w:bCs/>
          <w:sz w:val="32"/>
          <w:szCs w:val="32"/>
          <w:rtl/>
          <w:lang w:val="fr-FR"/>
        </w:rPr>
        <w:t>علم الفيروسات</w:t>
      </w:r>
    </w:p>
    <w:p w:rsidR="00511610" w:rsidRPr="00451C46" w:rsidRDefault="00511610" w:rsidP="00451C4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511610" w:rsidRPr="001F756B" w:rsidRDefault="00511610" w:rsidP="000C7E9C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Notions générale</w:t>
      </w:r>
      <w:r>
        <w:rPr>
          <w:rFonts w:ascii="Times New Roman" w:hAnsi="Times New Roman" w:cs="Times New Roman"/>
          <w:sz w:val="24"/>
          <w:szCs w:val="24"/>
          <w:lang w:val="fr-FR"/>
        </w:rPr>
        <w:t>s sur les prions</w:t>
      </w:r>
    </w:p>
    <w:p w:rsidR="00511610" w:rsidRPr="001F756B" w:rsidRDefault="00511610" w:rsidP="000C7E9C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Diagnostic virologique</w:t>
      </w:r>
    </w:p>
    <w:p w:rsidR="00511610" w:rsidRPr="001F756B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 xml:space="preserve">Les méthodes:   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Mise en évidence des virus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fr-FR"/>
        </w:rPr>
        <w:t>isolement sur culture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 xml:space="preserve">Mise en évidence d’antigènes viraux, </w:t>
      </w:r>
      <w:r>
        <w:rPr>
          <w:rFonts w:ascii="Times New Roman" w:hAnsi="Times New Roman" w:cs="Times New Roman"/>
          <w:sz w:val="24"/>
          <w:szCs w:val="24"/>
          <w:lang w:val="fr-FR"/>
        </w:rPr>
        <w:t>immunoenzymologie immunochromatographie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 xml:space="preserve">Mise en évidence de génome </w:t>
      </w:r>
      <w:r>
        <w:rPr>
          <w:rFonts w:ascii="Times New Roman" w:hAnsi="Times New Roman" w:cs="Times New Roman"/>
          <w:sz w:val="24"/>
          <w:szCs w:val="24"/>
          <w:lang w:val="fr-FR"/>
        </w:rPr>
        <w:t>viral par techniques de biologie moleculaire.(PCR)</w:t>
      </w:r>
    </w:p>
    <w:p w:rsidR="00511610" w:rsidRPr="001F756B" w:rsidRDefault="00511610" w:rsidP="000C7E9C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Principaux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virus d’intérêt médical</w:t>
      </w:r>
    </w:p>
    <w:p w:rsidR="00511610" w:rsidRPr="001F756B" w:rsidRDefault="00511610" w:rsidP="00C16FB3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Pr="001F756B" w:rsidRDefault="00511610" w:rsidP="00451C46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Ad</w:t>
      </w:r>
      <w:r>
        <w:rPr>
          <w:rFonts w:ascii="Times New Roman" w:hAnsi="Times New Roman" w:cs="Times New Roman"/>
          <w:sz w:val="24"/>
          <w:szCs w:val="24"/>
          <w:lang w:val="fr-FR"/>
        </w:rPr>
        <w:t>é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>novirus: (respirstoire et digestif)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>papillomavirus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Herpes virus: Herpès,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>zona,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>varicelle,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>mononucléose infectieuse, cytomé</w:t>
      </w:r>
      <w:r>
        <w:rPr>
          <w:rFonts w:ascii="Times New Roman" w:hAnsi="Times New Roman" w:cs="Times New Roman"/>
          <w:sz w:val="24"/>
          <w:szCs w:val="24"/>
          <w:lang w:val="fr-FR"/>
        </w:rPr>
        <w:t>galovirus</w:t>
      </w:r>
    </w:p>
    <w:p w:rsidR="0051161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Entéro</w:t>
      </w:r>
      <w:r>
        <w:rPr>
          <w:rFonts w:ascii="Times New Roman" w:hAnsi="Times New Roman" w:cs="Times New Roman"/>
          <w:sz w:val="24"/>
          <w:szCs w:val="24"/>
          <w:lang w:val="fr-FR"/>
        </w:rPr>
        <w:t>virus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Rotavirus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Rubéole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Grippe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Rougeole,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>oreillons,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 xml:space="preserve">virus respiratoire syncitial </w:t>
      </w:r>
      <w:r>
        <w:rPr>
          <w:rFonts w:ascii="Times New Roman" w:hAnsi="Times New Roman" w:cs="Times New Roman"/>
          <w:sz w:val="24"/>
          <w:szCs w:val="24"/>
          <w:lang w:val="fr-FR"/>
        </w:rPr>
        <w:t>(paramyxovirus)</w:t>
      </w:r>
    </w:p>
    <w:p w:rsidR="00511610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1F756B">
        <w:rPr>
          <w:rFonts w:ascii="Times New Roman" w:hAnsi="Times New Roman" w:cs="Times New Roman"/>
          <w:sz w:val="24"/>
          <w:szCs w:val="24"/>
          <w:lang w:val="fr-FR"/>
        </w:rPr>
        <w:t>Rage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1F756B">
        <w:rPr>
          <w:rFonts w:ascii="Times New Roman" w:hAnsi="Times New Roman" w:cs="Times New Roman"/>
          <w:sz w:val="24"/>
          <w:szCs w:val="24"/>
          <w:lang w:val="fr-FR"/>
        </w:rPr>
        <w:t>(rhabdovirus)</w:t>
      </w:r>
    </w:p>
    <w:p w:rsidR="00511610" w:rsidRPr="001F756B" w:rsidRDefault="00511610" w:rsidP="000C7E9C">
      <w:pPr>
        <w:pStyle w:val="ListParagraph"/>
        <w:numPr>
          <w:ilvl w:val="1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Gastro-enterites virales</w:t>
      </w:r>
    </w:p>
    <w:p w:rsidR="00511610" w:rsidRPr="001F756B" w:rsidRDefault="00511610" w:rsidP="001F756B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0B32ED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</w:p>
    <w:p w:rsidR="001E4EB8" w:rsidRDefault="001E4EB8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  <w:sectPr w:rsidR="001E4EB8" w:rsidSect="00EB204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11610" w:rsidRDefault="00511610" w:rsidP="001E4EB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lastRenderedPageBreak/>
        <w:t>TRANSFUSION SANGUINE</w:t>
      </w:r>
    </w:p>
    <w:p w:rsidR="000B32ED" w:rsidRPr="00B81644" w:rsidRDefault="000B32ED" w:rsidP="00B816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نقل الدم</w:t>
      </w:r>
    </w:p>
    <w:p w:rsidR="00511610" w:rsidRDefault="00511610" w:rsidP="00B81644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511610" w:rsidRPr="00B81644" w:rsidRDefault="00511610" w:rsidP="000C7E9C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>Auto i</w:t>
      </w:r>
      <w:r>
        <w:rPr>
          <w:rFonts w:ascii="Times New Roman" w:hAnsi="Times New Roman" w:cs="Times New Roman"/>
          <w:sz w:val="24"/>
          <w:szCs w:val="24"/>
          <w:lang w:val="fr-FR"/>
        </w:rPr>
        <w:t>mmunisation anti érythrocytaire</w:t>
      </w:r>
    </w:p>
    <w:p w:rsidR="00511610" w:rsidRPr="00B81644" w:rsidRDefault="00511610" w:rsidP="000C7E9C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>Allo i</w:t>
      </w:r>
      <w:r>
        <w:rPr>
          <w:rFonts w:ascii="Times New Roman" w:hAnsi="Times New Roman" w:cs="Times New Roman"/>
          <w:sz w:val="24"/>
          <w:szCs w:val="24"/>
          <w:lang w:val="fr-FR"/>
        </w:rPr>
        <w:t>mmunisation anti érythrocytaire</w:t>
      </w:r>
    </w:p>
    <w:p w:rsidR="00511610" w:rsidRPr="00B81644" w:rsidRDefault="00511610" w:rsidP="000C7E9C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>Sécurité immune-</w:t>
      </w:r>
      <w:r>
        <w:rPr>
          <w:rFonts w:ascii="Times New Roman" w:hAnsi="Times New Roman" w:cs="Times New Roman"/>
          <w:sz w:val="24"/>
          <w:szCs w:val="24"/>
          <w:lang w:val="fr-FR"/>
        </w:rPr>
        <w:t>hématologique des receveur</w:t>
      </w:r>
      <w:r w:rsidRPr="00B81644">
        <w:rPr>
          <w:rFonts w:ascii="Times New Roman" w:hAnsi="Times New Roman" w:cs="Times New Roman"/>
          <w:sz w:val="24"/>
          <w:szCs w:val="24"/>
          <w:lang w:val="fr-FR"/>
        </w:rPr>
        <w:t>s:</w:t>
      </w:r>
    </w:p>
    <w:p w:rsidR="00511610" w:rsidRPr="00B81644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Risque immunologique</w:t>
      </w:r>
    </w:p>
    <w:p w:rsidR="00511610" w:rsidRPr="00B81644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>Préven</w:t>
      </w:r>
      <w:r>
        <w:rPr>
          <w:rFonts w:ascii="Times New Roman" w:hAnsi="Times New Roman" w:cs="Times New Roman"/>
          <w:sz w:val="24"/>
          <w:szCs w:val="24"/>
          <w:lang w:val="fr-FR"/>
        </w:rPr>
        <w:t>tion de l’allo immunisation</w:t>
      </w:r>
    </w:p>
    <w:p w:rsidR="00511610" w:rsidRPr="00B81644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 xml:space="preserve">Choix des concentrés et compatibilité </w:t>
      </w:r>
      <w:r>
        <w:rPr>
          <w:rFonts w:ascii="Times New Roman" w:hAnsi="Times New Roman" w:cs="Times New Roman"/>
          <w:sz w:val="24"/>
          <w:szCs w:val="24"/>
          <w:lang w:val="fr-FR"/>
        </w:rPr>
        <w:t>immunologique</w:t>
      </w:r>
    </w:p>
    <w:p w:rsidR="00511610" w:rsidRPr="00B81644" w:rsidRDefault="00511610" w:rsidP="000C7E9C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>Co</w:t>
      </w:r>
      <w:r>
        <w:rPr>
          <w:rFonts w:ascii="Times New Roman" w:hAnsi="Times New Roman" w:cs="Times New Roman"/>
          <w:sz w:val="24"/>
          <w:szCs w:val="24"/>
          <w:lang w:val="fr-FR"/>
        </w:rPr>
        <w:t>ntrôle ultime pré transfusionnel</w:t>
      </w:r>
    </w:p>
    <w:p w:rsidR="00511610" w:rsidRPr="00B81644" w:rsidRDefault="00511610" w:rsidP="000C7E9C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>Ma</w:t>
      </w:r>
      <w:r>
        <w:rPr>
          <w:rFonts w:ascii="Times New Roman" w:hAnsi="Times New Roman" w:cs="Times New Roman"/>
          <w:sz w:val="24"/>
          <w:szCs w:val="24"/>
          <w:lang w:val="fr-FR"/>
        </w:rPr>
        <w:t>ladie hémolytique du nouveau-né</w:t>
      </w:r>
    </w:p>
    <w:p w:rsidR="00511610" w:rsidRPr="00B81644" w:rsidRDefault="00511610" w:rsidP="000C7E9C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B81644">
        <w:rPr>
          <w:rFonts w:ascii="Times New Roman" w:hAnsi="Times New Roman" w:cs="Times New Roman"/>
          <w:sz w:val="24"/>
          <w:szCs w:val="24"/>
          <w:lang w:val="fr-FR"/>
        </w:rPr>
        <w:t>Agents infectieux transmissibles par voie sanguine (virus,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81644">
        <w:rPr>
          <w:rFonts w:ascii="Times New Roman" w:hAnsi="Times New Roman" w:cs="Times New Roman"/>
          <w:sz w:val="24"/>
          <w:szCs w:val="24"/>
          <w:lang w:val="fr-FR"/>
        </w:rPr>
        <w:t>parasite,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B81644">
        <w:rPr>
          <w:rFonts w:ascii="Times New Roman" w:hAnsi="Times New Roman" w:cs="Times New Roman"/>
          <w:sz w:val="24"/>
          <w:szCs w:val="24"/>
          <w:lang w:val="fr-FR"/>
        </w:rPr>
        <w:t>bactéries..)</w:t>
      </w:r>
    </w:p>
    <w:p w:rsidR="00511610" w:rsidRPr="00B81644" w:rsidRDefault="00511610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Accidents de la transfusion.1</w:t>
      </w:r>
    </w:p>
    <w:p w:rsidR="00511610" w:rsidRDefault="00511610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  <w:sectPr w:rsidR="00461823" w:rsidSect="00EB204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61823" w:rsidRP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Laboratory practice hours</w:t>
      </w: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التطبيق العملي</w:t>
      </w: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rtl/>
          <w:lang w:val="fr-FR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>Thesis</w:t>
      </w:r>
    </w:p>
    <w:p w:rsidR="00461823" w:rsidRPr="00B81644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  <w:lang w:val="fr-FR"/>
        </w:rPr>
        <w:t>البحث</w:t>
      </w:r>
    </w:p>
    <w:p w:rsidR="00461823" w:rsidRPr="00B81644" w:rsidRDefault="00461823" w:rsidP="0046182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</w:p>
    <w:p w:rsidR="00461823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61823" w:rsidRPr="00B81644" w:rsidRDefault="00461823" w:rsidP="00B151FE">
      <w:pPr>
        <w:pStyle w:val="ListParagraph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sectPr w:rsidR="00461823" w:rsidRPr="00B81644" w:rsidSect="00EB20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1E04" w:rsidRDefault="00621E04" w:rsidP="002E6BA1">
      <w:pPr>
        <w:spacing w:after="0" w:line="240" w:lineRule="auto"/>
      </w:pPr>
      <w:r>
        <w:separator/>
      </w:r>
    </w:p>
  </w:endnote>
  <w:endnote w:type="continuationSeparator" w:id="0">
    <w:p w:rsidR="00621E04" w:rsidRDefault="00621E04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610" w:rsidRDefault="005116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610" w:rsidRDefault="00E91D0F" w:rsidP="0008490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47DFE"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610" w:rsidRDefault="005116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1E04" w:rsidRDefault="00621E04" w:rsidP="002E6BA1">
      <w:pPr>
        <w:spacing w:after="0" w:line="240" w:lineRule="auto"/>
      </w:pPr>
      <w:r>
        <w:separator/>
      </w:r>
    </w:p>
  </w:footnote>
  <w:footnote w:type="continuationSeparator" w:id="0">
    <w:p w:rsidR="00621E04" w:rsidRDefault="00621E04" w:rsidP="002E6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610" w:rsidRDefault="005116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610" w:rsidRDefault="00511610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610" w:rsidRDefault="005116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04421"/>
    <w:multiLevelType w:val="hybridMultilevel"/>
    <w:tmpl w:val="DB083DC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arabicAbjad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Roman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arabicAbjad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Roman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arabicAbjad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F30B0"/>
    <w:multiLevelType w:val="hybridMultilevel"/>
    <w:tmpl w:val="123AB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C520FB"/>
    <w:multiLevelType w:val="hybridMultilevel"/>
    <w:tmpl w:val="3AECF46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362034D1"/>
    <w:multiLevelType w:val="hybridMultilevel"/>
    <w:tmpl w:val="52D2B41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36DD04D4"/>
    <w:multiLevelType w:val="hybridMultilevel"/>
    <w:tmpl w:val="52D2B41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3A1B529F"/>
    <w:multiLevelType w:val="hybridMultilevel"/>
    <w:tmpl w:val="52D2B41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4DA1911"/>
    <w:multiLevelType w:val="hybridMultilevel"/>
    <w:tmpl w:val="3AECF462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45521847"/>
    <w:multiLevelType w:val="hybridMultilevel"/>
    <w:tmpl w:val="32FC5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1753D3A"/>
    <w:multiLevelType w:val="hybridMultilevel"/>
    <w:tmpl w:val="52D2B41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9432FB7"/>
    <w:multiLevelType w:val="hybridMultilevel"/>
    <w:tmpl w:val="3654BB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3811D9C"/>
    <w:multiLevelType w:val="hybridMultilevel"/>
    <w:tmpl w:val="52D2B41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CA30C4"/>
    <w:multiLevelType w:val="hybridMultilevel"/>
    <w:tmpl w:val="52D2B410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75AA5A12"/>
    <w:multiLevelType w:val="hybridMultilevel"/>
    <w:tmpl w:val="62CE0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cs="Times New Roman"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3"/>
  </w:num>
  <w:num w:numId="9">
    <w:abstractNumId w:val="7"/>
  </w:num>
  <w:num w:numId="10">
    <w:abstractNumId w:val="4"/>
  </w:num>
  <w:num w:numId="11">
    <w:abstractNumId w:val="12"/>
  </w:num>
  <w:num w:numId="12">
    <w:abstractNumId w:val="10"/>
  </w:num>
  <w:num w:numId="13">
    <w:abstractNumId w:val="5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34B"/>
    <w:rsid w:val="00006254"/>
    <w:rsid w:val="000173F3"/>
    <w:rsid w:val="00047DFE"/>
    <w:rsid w:val="00052291"/>
    <w:rsid w:val="00063E51"/>
    <w:rsid w:val="00067388"/>
    <w:rsid w:val="00080A3F"/>
    <w:rsid w:val="0008490A"/>
    <w:rsid w:val="0008716A"/>
    <w:rsid w:val="000A70F0"/>
    <w:rsid w:val="000A7A3B"/>
    <w:rsid w:val="000B32ED"/>
    <w:rsid w:val="000C3A89"/>
    <w:rsid w:val="000C6A39"/>
    <w:rsid w:val="000C7E9C"/>
    <w:rsid w:val="000E4A69"/>
    <w:rsid w:val="00120209"/>
    <w:rsid w:val="00123CCD"/>
    <w:rsid w:val="00136646"/>
    <w:rsid w:val="00142E1D"/>
    <w:rsid w:val="001672A9"/>
    <w:rsid w:val="0017634B"/>
    <w:rsid w:val="001840A4"/>
    <w:rsid w:val="001B33F3"/>
    <w:rsid w:val="001E4EB8"/>
    <w:rsid w:val="001F06B9"/>
    <w:rsid w:val="001F3A2A"/>
    <w:rsid w:val="001F601B"/>
    <w:rsid w:val="001F756B"/>
    <w:rsid w:val="00221440"/>
    <w:rsid w:val="00230CEE"/>
    <w:rsid w:val="00234985"/>
    <w:rsid w:val="00235991"/>
    <w:rsid w:val="002413AF"/>
    <w:rsid w:val="002624FD"/>
    <w:rsid w:val="00263520"/>
    <w:rsid w:val="002C06B0"/>
    <w:rsid w:val="002D4062"/>
    <w:rsid w:val="002E6BA1"/>
    <w:rsid w:val="002E788C"/>
    <w:rsid w:val="002F3184"/>
    <w:rsid w:val="00314AE7"/>
    <w:rsid w:val="00315FC4"/>
    <w:rsid w:val="003362B3"/>
    <w:rsid w:val="00354C56"/>
    <w:rsid w:val="003A01A4"/>
    <w:rsid w:val="003A46B4"/>
    <w:rsid w:val="003F2D97"/>
    <w:rsid w:val="004246F0"/>
    <w:rsid w:val="00451C46"/>
    <w:rsid w:val="004573B4"/>
    <w:rsid w:val="00461823"/>
    <w:rsid w:val="00470F04"/>
    <w:rsid w:val="004B0EB0"/>
    <w:rsid w:val="004B6450"/>
    <w:rsid w:val="004D3ABA"/>
    <w:rsid w:val="00511610"/>
    <w:rsid w:val="00526268"/>
    <w:rsid w:val="00565B91"/>
    <w:rsid w:val="00596B13"/>
    <w:rsid w:val="005B568C"/>
    <w:rsid w:val="005F6EBF"/>
    <w:rsid w:val="006152FB"/>
    <w:rsid w:val="00621E04"/>
    <w:rsid w:val="0062387E"/>
    <w:rsid w:val="00664315"/>
    <w:rsid w:val="00674FEC"/>
    <w:rsid w:val="006A4437"/>
    <w:rsid w:val="006A56AD"/>
    <w:rsid w:val="00704CAC"/>
    <w:rsid w:val="00741BC3"/>
    <w:rsid w:val="007572C0"/>
    <w:rsid w:val="007613BD"/>
    <w:rsid w:val="00797B23"/>
    <w:rsid w:val="007A7F56"/>
    <w:rsid w:val="007B04BB"/>
    <w:rsid w:val="007C2BC8"/>
    <w:rsid w:val="007D6743"/>
    <w:rsid w:val="007F731E"/>
    <w:rsid w:val="008001BD"/>
    <w:rsid w:val="00800609"/>
    <w:rsid w:val="0083442B"/>
    <w:rsid w:val="008446CE"/>
    <w:rsid w:val="008569B7"/>
    <w:rsid w:val="00863B00"/>
    <w:rsid w:val="00937603"/>
    <w:rsid w:val="00940ACA"/>
    <w:rsid w:val="00973F50"/>
    <w:rsid w:val="009852BE"/>
    <w:rsid w:val="00986025"/>
    <w:rsid w:val="009941A0"/>
    <w:rsid w:val="00996C62"/>
    <w:rsid w:val="009A34C7"/>
    <w:rsid w:val="009B065D"/>
    <w:rsid w:val="009B0E6A"/>
    <w:rsid w:val="009C6C50"/>
    <w:rsid w:val="009E0BE8"/>
    <w:rsid w:val="009E67CF"/>
    <w:rsid w:val="00A05FB2"/>
    <w:rsid w:val="00A1277A"/>
    <w:rsid w:val="00A51EF4"/>
    <w:rsid w:val="00A571DE"/>
    <w:rsid w:val="00A6637C"/>
    <w:rsid w:val="00A8029A"/>
    <w:rsid w:val="00A870B6"/>
    <w:rsid w:val="00AA6F08"/>
    <w:rsid w:val="00AE1959"/>
    <w:rsid w:val="00B110EC"/>
    <w:rsid w:val="00B151FE"/>
    <w:rsid w:val="00B231C8"/>
    <w:rsid w:val="00B50B3D"/>
    <w:rsid w:val="00B65A70"/>
    <w:rsid w:val="00B65CE2"/>
    <w:rsid w:val="00B67FB6"/>
    <w:rsid w:val="00B724E2"/>
    <w:rsid w:val="00B75594"/>
    <w:rsid w:val="00B81644"/>
    <w:rsid w:val="00BA65BC"/>
    <w:rsid w:val="00BC76C8"/>
    <w:rsid w:val="00BD3737"/>
    <w:rsid w:val="00BD791D"/>
    <w:rsid w:val="00BF4B23"/>
    <w:rsid w:val="00C00452"/>
    <w:rsid w:val="00C16FB3"/>
    <w:rsid w:val="00C31762"/>
    <w:rsid w:val="00C40FBD"/>
    <w:rsid w:val="00C4407F"/>
    <w:rsid w:val="00C443EC"/>
    <w:rsid w:val="00C53418"/>
    <w:rsid w:val="00C618B1"/>
    <w:rsid w:val="00C63324"/>
    <w:rsid w:val="00C744F2"/>
    <w:rsid w:val="00C8460B"/>
    <w:rsid w:val="00CC5168"/>
    <w:rsid w:val="00CE028E"/>
    <w:rsid w:val="00D32AD7"/>
    <w:rsid w:val="00D40751"/>
    <w:rsid w:val="00D42DEE"/>
    <w:rsid w:val="00D95E52"/>
    <w:rsid w:val="00DC5A59"/>
    <w:rsid w:val="00DD701C"/>
    <w:rsid w:val="00DE689A"/>
    <w:rsid w:val="00DF17DB"/>
    <w:rsid w:val="00DF50FC"/>
    <w:rsid w:val="00E14F16"/>
    <w:rsid w:val="00E232FA"/>
    <w:rsid w:val="00E358AA"/>
    <w:rsid w:val="00E40F22"/>
    <w:rsid w:val="00E91D0F"/>
    <w:rsid w:val="00EB2041"/>
    <w:rsid w:val="00EC7AE5"/>
    <w:rsid w:val="00ED023F"/>
    <w:rsid w:val="00ED761A"/>
    <w:rsid w:val="00EE5D50"/>
    <w:rsid w:val="00EF567C"/>
    <w:rsid w:val="00F07240"/>
    <w:rsid w:val="00F13ED3"/>
    <w:rsid w:val="00F54AA7"/>
    <w:rsid w:val="00F822AB"/>
    <w:rsid w:val="00F979F8"/>
    <w:rsid w:val="00FF5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2D325556-9DEA-426B-A124-5E71952EFF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87E"/>
    <w:pPr>
      <w:spacing w:after="200" w:line="276" w:lineRule="auto"/>
    </w:pPr>
  </w:style>
  <w:style w:type="paragraph" w:styleId="Heading3">
    <w:name w:val="heading 3"/>
    <w:basedOn w:val="Normal"/>
    <w:next w:val="Normal"/>
    <w:link w:val="Heading3Char"/>
    <w:uiPriority w:val="99"/>
    <w:qFormat/>
    <w:rsid w:val="0017634B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7634B"/>
    <w:pPr>
      <w:keepNext/>
      <w:spacing w:after="0" w:line="240" w:lineRule="auto"/>
      <w:jc w:val="both"/>
      <w:outlineLvl w:val="3"/>
    </w:pPr>
    <w:rPr>
      <w:rFonts w:ascii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7634B"/>
    <w:pPr>
      <w:keepNext/>
      <w:numPr>
        <w:numId w:val="1"/>
      </w:numPr>
      <w:spacing w:after="0" w:line="240" w:lineRule="auto"/>
      <w:jc w:val="both"/>
      <w:outlineLvl w:val="4"/>
    </w:pPr>
    <w:rPr>
      <w:rFonts w:ascii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17634B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7634B"/>
    <w:rPr>
      <w:rFonts w:ascii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7634B"/>
    <w:rPr>
      <w:rFonts w:ascii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99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7634B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99"/>
    <w:qFormat/>
    <w:rsid w:val="0017634B"/>
  </w:style>
  <w:style w:type="paragraph" w:styleId="Header">
    <w:name w:val="header"/>
    <w:basedOn w:val="Normal"/>
    <w:link w:val="HeaderChar"/>
    <w:uiPriority w:val="99"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7634B"/>
    <w:rPr>
      <w:rFonts w:cs="Times New Roman"/>
    </w:rPr>
  </w:style>
  <w:style w:type="paragraph" w:styleId="NormalWeb">
    <w:name w:val="Normal (Web)"/>
    <w:basedOn w:val="Normal"/>
    <w:uiPriority w:val="99"/>
    <w:rsid w:val="00BF4B2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05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05FB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047DFE"/>
    <w:pPr>
      <w:bidi/>
      <w:spacing w:after="120" w:line="240" w:lineRule="auto"/>
    </w:pPr>
    <w:rPr>
      <w:rFonts w:ascii="Times New Roman" w:eastAsia="MS Mincho" w:hAnsi="Times New Roman" w:cs="Times New Roman"/>
      <w:sz w:val="24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47DFE"/>
    <w:rPr>
      <w:rFonts w:ascii="Times New Roman" w:eastAsia="MS Mincho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4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914</Words>
  <Characters>5215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(C)</Company>
  <LinksUpToDate>false</LinksUpToDate>
  <CharactersWithSpaces>6117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G50</cp:lastModifiedBy>
  <cp:revision>13</cp:revision>
  <dcterms:created xsi:type="dcterms:W3CDTF">2020-08-28T15:32:00Z</dcterms:created>
  <dcterms:modified xsi:type="dcterms:W3CDTF">2020-11-01T08:09:00Z</dcterms:modified>
</cp:coreProperties>
</file>